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r>
    </w:p>
    <w:p>
      <w:pPr>
        <w:pStyle w:val="Normal"/>
        <w:bidi w:val="0"/>
        <w:jc w:val="center"/>
        <w:rPr>
          <w:b/>
          <w:bCs/>
        </w:rPr>
      </w:pPr>
      <w:r>
        <w:rPr>
          <w:b/>
          <w:bCs/>
        </w:rPr>
      </w:r>
    </w:p>
    <w:p>
      <w:pPr>
        <w:pStyle w:val="Normal"/>
        <w:bidi w:val="0"/>
        <w:jc w:val="center"/>
        <w:rPr>
          <w:sz w:val="28"/>
          <w:szCs w:val="28"/>
        </w:rPr>
      </w:pPr>
      <w:r>
        <w:rPr>
          <w:b/>
          <w:bCs/>
          <w:sz w:val="28"/>
          <w:szCs w:val="28"/>
        </w:rPr>
        <w:t>Data Protection Pack (DPP)</w:t>
      </w:r>
    </w:p>
    <w:p>
      <w:pPr>
        <w:pStyle w:val="Normal"/>
        <w:bidi w:val="0"/>
        <w:jc w:val="center"/>
        <w:rPr>
          <w:b w:val="false"/>
          <w:bCs w:val="false"/>
          <w:sz w:val="18"/>
          <w:szCs w:val="18"/>
        </w:rPr>
      </w:pPr>
      <w:r>
        <w:rPr>
          <w:b w:val="false"/>
          <w:bCs w:val="false"/>
          <w:sz w:val="18"/>
          <w:szCs w:val="18"/>
        </w:rPr>
        <w:t>Last Updated: 11 Jun 2026</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sz w:val="28"/>
          <w:szCs w:val="28"/>
        </w:rPr>
      </w:pPr>
      <w:r>
        <w:rPr>
          <w:b/>
          <w:bCs/>
          <w:sz w:val="28"/>
          <w:szCs w:val="28"/>
        </w:rPr>
        <w:t>Table of Contents</w:t>
      </w:r>
    </w:p>
    <w:p>
      <w:pPr>
        <w:pStyle w:val="Normal"/>
        <w:bidi w:val="0"/>
        <w:jc w:val="center"/>
        <w:rPr>
          <w:b/>
          <w:bCs/>
        </w:rPr>
      </w:pPr>
      <w:r>
        <w:rPr>
          <w:b/>
          <w:bCs/>
        </w:rPr>
      </w:r>
    </w:p>
    <w:p>
      <w:pPr>
        <w:pStyle w:val="Normal"/>
        <w:bidi w:val="0"/>
        <w:jc w:val="center"/>
        <w:rPr>
          <w:b/>
          <w:bCs/>
        </w:rPr>
      </w:pPr>
      <w:r>
        <w:rPr>
          <w:b/>
          <w:bCs/>
        </w:rPr>
      </w:r>
    </w:p>
    <w:p>
      <w:pPr>
        <w:pStyle w:val="Normal"/>
        <w:bidi w:val="0"/>
        <w:jc w:val="center"/>
        <w:rPr>
          <w:b/>
          <w:bCs/>
          <w:sz w:val="28"/>
          <w:szCs w:val="28"/>
        </w:rPr>
      </w:pPr>
      <w:r>
        <w:rPr>
          <w:b/>
          <w:bCs/>
          <w:sz w:val="28"/>
          <w:szCs w:val="28"/>
        </w:rPr>
        <w:t>- Part I. Data Protection Policy -</w:t>
      </w:r>
    </w:p>
    <w:p>
      <w:pPr>
        <w:pStyle w:val="Normal"/>
        <w:bidi w:val="0"/>
        <w:jc w:val="center"/>
        <w:rPr>
          <w:b/>
          <w:bCs/>
        </w:rPr>
      </w:pPr>
      <w:r>
        <w:rPr>
          <w:b/>
          <w:bCs/>
        </w:rPr>
      </w:r>
    </w:p>
    <w:p>
      <w:pPr>
        <w:pStyle w:val="Normal"/>
        <w:bidi w:val="0"/>
        <w:jc w:val="center"/>
        <w:rPr>
          <w:b/>
          <w:bCs/>
        </w:rPr>
      </w:pPr>
      <w:r>
        <w:rPr>
          <w:b/>
          <w:bCs/>
        </w:rPr>
        <w:t>Section 1.  Basic Details</w:t>
      </w:r>
    </w:p>
    <w:p>
      <w:pPr>
        <w:pStyle w:val="Normal"/>
        <w:bidi w:val="0"/>
        <w:jc w:val="center"/>
        <w:rPr>
          <w:b/>
          <w:bCs/>
        </w:rPr>
      </w:pPr>
      <w:r>
        <w:rPr>
          <w:b/>
          <w:bCs/>
        </w:rPr>
      </w:r>
    </w:p>
    <w:p>
      <w:pPr>
        <w:pStyle w:val="Normal"/>
        <w:bidi w:val="0"/>
        <w:jc w:val="center"/>
        <w:rPr>
          <w:b/>
          <w:bCs/>
        </w:rPr>
      </w:pPr>
      <w:r>
        <w:rPr>
          <w:b/>
          <w:bCs/>
        </w:rPr>
        <w:t>Section 2. Policies for the Public Website</w:t>
      </w:r>
    </w:p>
    <w:p>
      <w:pPr>
        <w:pStyle w:val="Normal"/>
        <w:bidi w:val="0"/>
        <w:jc w:val="center"/>
        <w:rPr>
          <w:b/>
          <w:bCs/>
        </w:rPr>
      </w:pPr>
      <w:r>
        <w:rPr>
          <w:b/>
          <w:bCs/>
        </w:rPr>
      </w:r>
    </w:p>
    <w:p>
      <w:pPr>
        <w:pStyle w:val="Normal"/>
        <w:bidi w:val="0"/>
        <w:jc w:val="center"/>
        <w:rPr>
          <w:b/>
          <w:bCs/>
        </w:rPr>
      </w:pPr>
      <w:r>
        <w:rPr>
          <w:b/>
          <w:bCs/>
        </w:rPr>
        <w:t>Section 3. Policies for Commercial Dataset Services</w:t>
      </w:r>
    </w:p>
    <w:p>
      <w:pPr>
        <w:pStyle w:val="Normal"/>
        <w:bidi w:val="0"/>
        <w:jc w:val="center"/>
        <w:rPr>
          <w:b/>
          <w:bCs/>
        </w:rPr>
      </w:pPr>
      <w:r>
        <w:rPr>
          <w:b/>
          <w:bCs/>
        </w:rPr>
      </w:r>
    </w:p>
    <w:p>
      <w:pPr>
        <w:pStyle w:val="Normal"/>
        <w:bidi w:val="0"/>
        <w:jc w:val="center"/>
        <w:rPr>
          <w:b/>
          <w:bCs/>
        </w:rPr>
      </w:pPr>
      <w:r>
        <w:rPr>
          <w:b/>
          <w:bCs/>
        </w:rPr>
        <w:t>Section 4. Policies for Client Personal Data</w:t>
      </w:r>
    </w:p>
    <w:p>
      <w:pPr>
        <w:pStyle w:val="Normal"/>
        <w:bidi w:val="0"/>
        <w:jc w:val="center"/>
        <w:rPr>
          <w:b/>
          <w:bCs/>
        </w:rPr>
      </w:pPr>
      <w:r>
        <w:rPr>
          <w:b/>
          <w:bCs/>
        </w:rPr>
      </w:r>
    </w:p>
    <w:p>
      <w:pPr>
        <w:pStyle w:val="Normal"/>
        <w:bidi w:val="0"/>
        <w:jc w:val="center"/>
        <w:rPr>
          <w:b/>
          <w:bCs/>
        </w:rPr>
      </w:pPr>
      <w:r>
        <w:rPr>
          <w:b/>
          <w:bCs/>
        </w:rPr>
        <w:t>Section 5. Legitimate Interest Assessment</w:t>
      </w:r>
    </w:p>
    <w:p>
      <w:pPr>
        <w:pStyle w:val="Normal"/>
        <w:bidi w:val="0"/>
        <w:jc w:val="center"/>
        <w:rPr>
          <w:b/>
          <w:bCs/>
        </w:rPr>
      </w:pPr>
      <w:r>
        <w:rPr>
          <w:b/>
          <w:bCs/>
        </w:rPr>
      </w:r>
    </w:p>
    <w:p>
      <w:pPr>
        <w:pStyle w:val="Normal"/>
        <w:bidi w:val="0"/>
        <w:jc w:val="center"/>
        <w:rPr>
          <w:b/>
          <w:bCs/>
        </w:rPr>
      </w:pPr>
      <w:r>
        <w:rPr/>
      </w:r>
    </w:p>
    <w:p>
      <w:pPr>
        <w:pStyle w:val="Normal"/>
        <w:bidi w:val="0"/>
        <w:jc w:val="center"/>
        <w:rPr>
          <w:b/>
          <w:bCs/>
        </w:rPr>
      </w:pPr>
      <w:r>
        <w:rPr>
          <w:b/>
          <w:bCs/>
        </w:rPr>
      </w:r>
    </w:p>
    <w:p>
      <w:pPr>
        <w:pStyle w:val="Normal"/>
        <w:bidi w:val="0"/>
        <w:jc w:val="center"/>
        <w:rPr>
          <w:b/>
          <w:bCs/>
        </w:rPr>
      </w:pPr>
      <w:r>
        <w:rPr>
          <w:b/>
          <w:bCs/>
        </w:rPr>
      </w:r>
    </w:p>
    <w:p>
      <w:pPr>
        <w:pStyle w:val="Normal"/>
        <w:bidi w:val="0"/>
        <w:jc w:val="center"/>
        <w:rPr>
          <w:b/>
          <w:bCs/>
        </w:rPr>
      </w:pPr>
      <w:r>
        <w:rPr>
          <w:b/>
          <w:bCs/>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bCs/>
        </w:rPr>
      </w:pPr>
      <w:r>
        <w:rPr>
          <w:b/>
          <w:bCs/>
        </w:rPr>
      </w:r>
      <w:r>
        <w:br w:type="page"/>
      </w:r>
    </w:p>
    <w:p>
      <w:pPr>
        <w:pStyle w:val="Normal"/>
        <w:bidi w:val="0"/>
        <w:spacing w:before="0" w:after="0"/>
        <w:jc w:val="center"/>
        <w:rPr>
          <w:b/>
          <w:bCs/>
        </w:rPr>
      </w:pPr>
      <w:r>
        <w:rPr>
          <w:b/>
          <w:bCs/>
        </w:rPr>
        <w:t>Section 1. Basic Details</w:t>
      </w:r>
    </w:p>
    <w:p>
      <w:pPr>
        <w:pStyle w:val="Normal"/>
        <w:bidi w:val="0"/>
        <w:jc w:val="both"/>
        <w:rPr>
          <w:b/>
          <w:bCs/>
        </w:rPr>
      </w:pPr>
      <w:r>
        <w:rPr>
          <w:b/>
          <w:bCs/>
        </w:rPr>
      </w:r>
    </w:p>
    <w:p>
      <w:pPr>
        <w:pStyle w:val="Normal"/>
        <w:bidi w:val="0"/>
        <w:jc w:val="both"/>
        <w:rPr>
          <w:b/>
          <w:bCs/>
        </w:rPr>
      </w:pPr>
      <w:r>
        <w:rPr>
          <w:b/>
          <w:bCs/>
        </w:rPr>
        <w:t>1.1 Legal Framework</w:t>
      </w:r>
    </w:p>
    <w:p>
      <w:pPr>
        <w:pStyle w:val="Normal"/>
        <w:bidi w:val="0"/>
        <w:jc w:val="both"/>
        <w:rPr/>
      </w:pPr>
      <w:r>
        <w:rPr/>
        <w:t>Our approach to data protection is based on the UK Data Protection Act 2018 (</w:t>
      </w:r>
      <w:r>
        <w:rPr>
          <w:b/>
          <w:bCs/>
        </w:rPr>
        <w:t>DPA</w:t>
      </w:r>
      <w:r>
        <w:rPr/>
        <w:t>), the UK General Data Protection Regulation (</w:t>
      </w:r>
      <w:r>
        <w:rPr>
          <w:b/>
          <w:bCs/>
        </w:rPr>
        <w:t>UK-GDPR</w:t>
      </w:r>
      <w:r>
        <w:rPr/>
        <w:t>), the Privacy and Electronic Communications Regulations (</w:t>
      </w:r>
      <w:r>
        <w:rPr>
          <w:b/>
          <w:bCs/>
        </w:rPr>
        <w:t>PECR</w:t>
      </w:r>
      <w:r>
        <w:rPr/>
        <w:t>), and the UK Data (Use and Access) Act 2025 (</w:t>
      </w:r>
      <w:r>
        <w:rPr>
          <w:b/>
          <w:bCs/>
        </w:rPr>
        <w:t>DUAA</w:t>
      </w:r>
      <w:r>
        <w:rPr/>
        <w:t>), as well as advice from the Information Commissioner’s Office (</w:t>
      </w:r>
      <w:r>
        <w:rPr>
          <w:b/>
          <w:bCs/>
        </w:rPr>
        <w:t>ICO</w:t>
      </w:r>
      <w:r>
        <w:rPr/>
        <w:t>).</w:t>
      </w:r>
    </w:p>
    <w:p>
      <w:pPr>
        <w:pStyle w:val="Normal"/>
        <w:bidi w:val="0"/>
        <w:jc w:val="both"/>
        <w:rPr>
          <w:b/>
          <w:bCs/>
        </w:rPr>
      </w:pPr>
      <w:r>
        <w:rPr>
          <w:b/>
          <w:bCs/>
        </w:rPr>
      </w:r>
    </w:p>
    <w:p>
      <w:pPr>
        <w:pStyle w:val="Normal"/>
        <w:bidi w:val="0"/>
        <w:jc w:val="both"/>
        <w:rPr/>
      </w:pPr>
      <w:r>
        <w:rPr>
          <w:b/>
          <w:bCs/>
        </w:rPr>
        <w:t>1.2 Oversight</w:t>
      </w:r>
    </w:p>
    <w:p>
      <w:pPr>
        <w:pStyle w:val="Normal"/>
        <w:bidi w:val="0"/>
        <w:jc w:val="both"/>
        <w:rPr/>
      </w:pPr>
      <w:r>
        <w:rPr/>
        <w:t>Lawson Data Services Limited is registered with the ICO for data protection purposes (Registration No. ZB754533).</w:t>
      </w:r>
    </w:p>
    <w:p>
      <w:pPr>
        <w:pStyle w:val="Normal"/>
        <w:bidi w:val="0"/>
        <w:jc w:val="both"/>
        <w:rPr>
          <w:b/>
          <w:bCs/>
        </w:rPr>
      </w:pPr>
      <w:r>
        <w:rPr>
          <w:b/>
          <w:bCs/>
        </w:rPr>
      </w:r>
    </w:p>
    <w:p>
      <w:pPr>
        <w:pStyle w:val="Normal"/>
        <w:bidi w:val="0"/>
        <w:jc w:val="both"/>
        <w:rPr>
          <w:b/>
          <w:bCs/>
        </w:rPr>
      </w:pPr>
      <w:r>
        <w:rPr>
          <w:b/>
          <w:bCs/>
        </w:rPr>
        <w:t>1.3 Location</w:t>
      </w:r>
    </w:p>
    <w:p>
      <w:pPr>
        <w:pStyle w:val="Normal"/>
        <w:bidi w:val="0"/>
        <w:jc w:val="both"/>
        <w:rPr/>
      </w:pPr>
      <w:r>
        <w:rPr/>
        <w:t>All personal data is held on our private server in Manchester, UK, or with our email provider, Proton Mail.</w:t>
      </w:r>
    </w:p>
    <w:p>
      <w:pPr>
        <w:pStyle w:val="Normal"/>
        <w:bidi w:val="0"/>
        <w:jc w:val="both"/>
        <w:rPr/>
      </w:pPr>
      <w:r>
        <w:rPr/>
      </w:r>
    </w:p>
    <w:p>
      <w:pPr>
        <w:pStyle w:val="Normal"/>
        <w:bidi w:val="0"/>
        <w:jc w:val="both"/>
        <w:rPr>
          <w:b/>
          <w:bCs/>
        </w:rPr>
      </w:pPr>
      <w:r>
        <w:rPr>
          <w:b/>
          <w:bCs/>
        </w:rPr>
        <w:t>1.4 Data Subject Rights</w:t>
      </w:r>
    </w:p>
    <w:p>
      <w:pPr>
        <w:pStyle w:val="Normal"/>
        <w:bidi w:val="0"/>
        <w:jc w:val="both"/>
        <w:rPr/>
      </w:pPr>
      <w:r>
        <w:rPr/>
        <w:t>Subject, whether elected representatives or clients, have the right to submit a subject access request or complaint at any time via the email address on our website. Such requests may be for access, rectification, erasure, restriction, or objection, and we will respond promptly and certainly within statutory timeframes.</w:t>
      </w:r>
    </w:p>
    <w:p>
      <w:pPr>
        <w:pStyle w:val="Normal"/>
        <w:bidi w:val="0"/>
        <w:jc w:val="both"/>
        <w:rPr/>
      </w:pPr>
      <w:r>
        <w:rPr/>
      </w:r>
    </w:p>
    <w:p>
      <w:pPr>
        <w:pStyle w:val="Normal"/>
        <w:bidi w:val="0"/>
        <w:jc w:val="both"/>
        <w:rPr>
          <w:b/>
          <w:bCs/>
        </w:rPr>
      </w:pPr>
      <w:r>
        <w:rPr>
          <w:b/>
          <w:bCs/>
        </w:rPr>
        <w:t>1.5 Security</w:t>
      </w:r>
    </w:p>
    <w:p>
      <w:pPr>
        <w:pStyle w:val="Normal"/>
        <w:bidi w:val="0"/>
        <w:jc w:val="both"/>
        <w:rPr>
          <w:b w:val="false"/>
          <w:bCs w:val="false"/>
        </w:rPr>
      </w:pPr>
      <w:r>
        <w:rPr>
          <w:b w:val="false"/>
          <w:bCs w:val="false"/>
        </w:rPr>
        <w:t>All of our email communications are encrypted, and all backend data storage is encrypted. The public aspect of our website, which applies to personal data in Section 2, is publicly accessible.</w:t>
      </w:r>
    </w:p>
    <w:p>
      <w:pPr>
        <w:pStyle w:val="Normal"/>
        <w:bidi w:val="0"/>
        <w:jc w:val="both"/>
        <w:rPr>
          <w:b w:val="false"/>
          <w:bCs w:val="false"/>
        </w:rPr>
      </w:pPr>
      <w:r>
        <w:rPr>
          <w:b w:val="false"/>
          <w:bCs w:val="false"/>
        </w:rPr>
      </w:r>
    </w:p>
    <w:p>
      <w:pPr>
        <w:pStyle w:val="Normal"/>
        <w:bidi w:val="0"/>
        <w:jc w:val="both"/>
        <w:rPr>
          <w:b/>
          <w:bCs/>
        </w:rPr>
      </w:pPr>
      <w:r>
        <w:rPr>
          <w:b/>
          <w:bCs/>
        </w:rPr>
        <w:t>1.6 Accountability</w:t>
      </w:r>
    </w:p>
    <w:p>
      <w:pPr>
        <w:pStyle w:val="Normal"/>
        <w:bidi w:val="0"/>
        <w:jc w:val="both"/>
        <w:rPr/>
      </w:pPr>
      <w:r>
        <w:rPr/>
        <w:t>The Data Protection Lead is Jon Lawson.</w:t>
      </w:r>
    </w:p>
    <w:p>
      <w:pPr>
        <w:pStyle w:val="Normal"/>
        <w:bidi w:val="0"/>
        <w:jc w:val="both"/>
        <w:rPr/>
      </w:pPr>
      <w:r>
        <w:rPr/>
      </w:r>
    </w:p>
    <w:p>
      <w:pPr>
        <w:pStyle w:val="Normal"/>
        <w:bidi w:val="0"/>
        <w:jc w:val="both"/>
        <w:rPr/>
      </w:pPr>
      <w:r>
        <w:rPr/>
      </w:r>
    </w:p>
    <w:p>
      <w:pPr>
        <w:pStyle w:val="Normal"/>
        <w:bidi w:val="0"/>
        <w:jc w:val="both"/>
        <w:rPr>
          <w:b/>
          <w:bCs/>
        </w:rPr>
      </w:pPr>
      <w:r>
        <w:rPr>
          <w:b/>
          <w:bCs/>
        </w:rPr>
      </w:r>
    </w:p>
    <w:p>
      <w:pPr>
        <w:pStyle w:val="Normal"/>
        <w:bidi w:val="0"/>
        <w:jc w:val="both"/>
        <w:rPr>
          <w:b/>
          <w:bCs/>
        </w:rPr>
      </w:pPr>
      <w:r>
        <w:rPr>
          <w:b/>
          <w:bCs/>
        </w:rPr>
      </w:r>
    </w:p>
    <w:p>
      <w:pPr>
        <w:pStyle w:val="Normal"/>
        <w:bidi w:val="0"/>
        <w:jc w:val="both"/>
        <w:rPr>
          <w:b/>
          <w:bCs/>
        </w:rPr>
      </w:pPr>
      <w:r>
        <w:rPr>
          <w:b/>
          <w:bCs/>
        </w:rPr>
      </w:r>
      <w:r>
        <w:br w:type="page"/>
      </w:r>
    </w:p>
    <w:p>
      <w:pPr>
        <w:pStyle w:val="Normal"/>
        <w:bidi w:val="0"/>
        <w:spacing w:before="0" w:after="0"/>
        <w:jc w:val="center"/>
        <w:rPr>
          <w:b/>
          <w:bCs/>
        </w:rPr>
      </w:pPr>
      <w:r>
        <w:rPr>
          <w:b/>
          <w:bCs/>
        </w:rPr>
        <w:t>Section 2. Policies for Public Website</w:t>
      </w:r>
    </w:p>
    <w:p>
      <w:pPr>
        <w:pStyle w:val="Normal"/>
        <w:bidi w:val="0"/>
        <w:jc w:val="both"/>
        <w:rPr/>
      </w:pPr>
      <w:r>
        <w:rPr/>
      </w:r>
    </w:p>
    <w:p>
      <w:pPr>
        <w:pStyle w:val="Normal"/>
        <w:bidi w:val="0"/>
        <w:jc w:val="both"/>
        <w:rPr>
          <w:b/>
          <w:bCs/>
        </w:rPr>
      </w:pPr>
      <w:r>
        <w:rPr>
          <w:b/>
          <w:bCs/>
        </w:rPr>
      </w:r>
    </w:p>
    <w:p>
      <w:pPr>
        <w:pStyle w:val="Normal"/>
        <w:bidi w:val="0"/>
        <w:jc w:val="both"/>
        <w:rPr/>
      </w:pPr>
      <w:r>
        <w:rPr>
          <w:b/>
          <w:bCs/>
        </w:rPr>
        <w:t>2.1 Purpose of Use and Lawful Basis</w:t>
      </w:r>
    </w:p>
    <w:p>
      <w:pPr>
        <w:pStyle w:val="Normal"/>
        <w:bidi w:val="0"/>
        <w:jc w:val="both"/>
        <w:rPr/>
      </w:pPr>
      <w:r>
        <w:rPr>
          <w:b/>
          <w:bCs/>
        </w:rPr>
        <w:t>2.1.1</w:t>
      </w:r>
      <w:r>
        <w:rPr/>
        <w:t xml:space="preserve"> The Open Council Data UK website presents the names and party affiliations of UK councillors from 2016 to the present in both HTML and downloadable table format, as a free-to-access public service to assist the public in learning about their local representatives, and to create a historical data resource for researchers and interested parties regarding local government representation.</w:t>
      </w:r>
    </w:p>
    <w:p>
      <w:pPr>
        <w:pStyle w:val="Normal"/>
        <w:bidi w:val="0"/>
        <w:jc w:val="both"/>
        <w:rPr/>
      </w:pPr>
      <w:r>
        <w:rPr>
          <w:b/>
          <w:bCs/>
        </w:rPr>
        <w:t>2.1.2</w:t>
      </w:r>
      <w:r>
        <w:rPr/>
        <w:t xml:space="preserve"> The data is presented and archived for historical and research purposes as a </w:t>
      </w:r>
      <w:r>
        <w:rPr>
          <w:i/>
          <w:iCs/>
        </w:rPr>
        <w:t>public task</w:t>
      </w:r>
      <w:r>
        <w:rPr/>
        <w:t xml:space="preserve"> under Article 6(1)(e) of UK-GDPR (see 2.3 Transparency).</w:t>
      </w:r>
    </w:p>
    <w:p>
      <w:pPr>
        <w:pStyle w:val="Normal"/>
        <w:bidi w:val="0"/>
        <w:jc w:val="both"/>
        <w:rPr>
          <w:b/>
          <w:bCs/>
        </w:rPr>
      </w:pPr>
      <w:r>
        <w:rPr>
          <w:b/>
          <w:bCs/>
        </w:rPr>
      </w:r>
    </w:p>
    <w:p>
      <w:pPr>
        <w:pStyle w:val="Normal"/>
        <w:bidi w:val="0"/>
        <w:jc w:val="both"/>
        <w:rPr>
          <w:b/>
          <w:bCs/>
        </w:rPr>
      </w:pPr>
      <w:r>
        <w:rPr>
          <w:b/>
          <w:bCs/>
        </w:rPr>
        <w:t>2.2 Type of Handling or Processing</w:t>
      </w:r>
    </w:p>
    <w:p>
      <w:pPr>
        <w:pStyle w:val="Normal"/>
        <w:bidi w:val="0"/>
        <w:jc w:val="both"/>
        <w:rPr/>
      </w:pPr>
      <w:r>
        <w:rPr/>
        <w:t>Personal data is collected from public sources, specifically UK council websites providing names and party affiliations of elected representatives. This personal data is then handled in accordance with this DPP. Specifically, personal data is entered into and stored in a database, and made available as described in 2.1 Purpose of Use. No additional processing or data matching is performed.</w:t>
      </w:r>
    </w:p>
    <w:p>
      <w:pPr>
        <w:pStyle w:val="Normal"/>
        <w:bidi w:val="0"/>
        <w:jc w:val="both"/>
        <w:rPr/>
      </w:pPr>
      <w:r>
        <w:rPr/>
      </w:r>
    </w:p>
    <w:p>
      <w:pPr>
        <w:pStyle w:val="Normal"/>
        <w:bidi w:val="0"/>
        <w:jc w:val="both"/>
        <w:rPr>
          <w:b/>
          <w:bCs/>
        </w:rPr>
      </w:pPr>
      <w:r>
        <w:rPr>
          <w:b/>
          <w:bCs/>
        </w:rPr>
        <w:t>2.3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by the respective council of the elected representative (subject). The purpose described in 2.1 Purpose of Use is considered to be usage:</w:t>
      </w:r>
    </w:p>
    <w:p>
      <w:pPr>
        <w:pStyle w:val="Normal"/>
        <w:numPr>
          <w:ilvl w:val="0"/>
          <w:numId w:val="0"/>
        </w:numPr>
        <w:bidi w:val="0"/>
        <w:ind w:hanging="0" w:left="1080"/>
        <w:jc w:val="both"/>
        <w:rPr/>
      </w:pPr>
      <w:r>
        <w:rPr>
          <w:i/>
          <w:iCs/>
        </w:rPr>
        <w:t>necessary for the performance of a task carried out in the public interest</w:t>
      </w:r>
      <w:r>
        <w:rPr/>
        <w:t>,</w:t>
      </w:r>
    </w:p>
    <w:p>
      <w:pPr>
        <w:pStyle w:val="Normal"/>
        <w:numPr>
          <w:ilvl w:val="0"/>
          <w:numId w:val="0"/>
        </w:numPr>
        <w:bidi w:val="0"/>
        <w:ind w:hanging="0" w:left="720"/>
        <w:jc w:val="both"/>
        <w:rPr/>
      </w:pPr>
      <w:r>
        <w:rPr/>
        <w:t xml:space="preserve">and thereby complies with the </w:t>
      </w:r>
      <w:r>
        <w:rPr>
          <w:i/>
          <w:iCs/>
        </w:rPr>
        <w:t>public task</w:t>
      </w:r>
      <w:r>
        <w:rPr/>
        <w:t xml:space="preserve"> requirements under Article 6(1)(e) of UK-GDPR.</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2.1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beyond the data points described above is collected with regard to the public website, no processing is carried out, and personal data is not matched with any supplementary source of personal data.</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 including periodic checks against council websites and daily updates to councillor details where required. Such updates include name changes, party affiliation changes, and removal of subject’s names, all of which are reflected on our public website as soon as practicably possible.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The names and party affiliations of councillors are archived for historical and research purposes.</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Subjects may contact Open Council Data UK at any time via the email address on the website, to enquire about their personal data. All subject access requests (SARs) and complaints are handled without undue delay.</w:t>
      </w:r>
    </w:p>
    <w:p>
      <w:pPr>
        <w:pStyle w:val="Normal"/>
        <w:bidi w:val="0"/>
        <w:jc w:val="both"/>
        <w:rPr>
          <w:b/>
          <w:bCs/>
        </w:rPr>
      </w:pPr>
      <w:r>
        <w:rPr>
          <w:b/>
          <w:bCs/>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center"/>
        <w:rPr>
          <w:b/>
          <w:bCs/>
        </w:rPr>
      </w:pPr>
      <w:r>
        <w:rPr>
          <w:b/>
          <w:bCs/>
        </w:rPr>
      </w:r>
      <w:r>
        <w:br w:type="page"/>
      </w:r>
    </w:p>
    <w:p>
      <w:pPr>
        <w:pStyle w:val="Normal"/>
        <w:bidi w:val="0"/>
        <w:spacing w:before="0" w:after="0"/>
        <w:jc w:val="center"/>
        <w:rPr>
          <w:b/>
          <w:bCs/>
        </w:rPr>
      </w:pPr>
      <w:r>
        <w:rPr>
          <w:b/>
          <w:bCs/>
        </w:rPr>
        <w:t>3. Policies for Commercial Dataset Services</w:t>
      </w:r>
    </w:p>
    <w:p>
      <w:pPr>
        <w:pStyle w:val="Normal"/>
        <w:bidi w:val="0"/>
        <w:jc w:val="both"/>
        <w:rPr/>
      </w:pPr>
      <w:r>
        <w:rPr/>
      </w:r>
    </w:p>
    <w:p>
      <w:pPr>
        <w:pStyle w:val="Normal"/>
        <w:bidi w:val="0"/>
        <w:jc w:val="both"/>
        <w:rPr>
          <w:b/>
          <w:bCs/>
        </w:rPr>
      </w:pPr>
      <w:r>
        <w:rPr>
          <w:b/>
          <w:bCs/>
        </w:rPr>
        <w:t>3.1 Purpose of Use, Client Selection and Lawful Basis</w:t>
      </w:r>
    </w:p>
    <w:p>
      <w:pPr>
        <w:pStyle w:val="Normal"/>
        <w:bidi w:val="0"/>
        <w:jc w:val="both"/>
        <w:rPr/>
      </w:pPr>
      <w:r>
        <w:rPr>
          <w:b/>
          <w:bCs/>
        </w:rPr>
        <w:t>3.1.1</w:t>
      </w:r>
      <w:r>
        <w:rPr/>
        <w:t xml:space="preserve"> Personal data is compiled into commercial datasets, enabling our clients to filter by the subject’s council, party affiliation and/or leadership role, and to make contact with elected representatives as required, and as stipulated under their own data protection measures.</w:t>
      </w:r>
    </w:p>
    <w:p>
      <w:pPr>
        <w:pStyle w:val="Normal"/>
        <w:bidi w:val="0"/>
        <w:jc w:val="both"/>
        <w:rPr/>
      </w:pPr>
      <w:r>
        <w:rPr>
          <w:b/>
          <w:bCs/>
        </w:rPr>
        <w:t>3.1.2</w:t>
      </w:r>
      <w:r>
        <w:rPr/>
        <w:t xml:space="preserve"> We take great care to ensure clients are individuals or organisations which, in our professional opinion, have a legitimate interest in making contact with subjects, and with purposes which align with subjects’ expectations and the norms surrounding communication with elected representatives. As such, our clients are generally, but not limited to, parties such as charities, political organisations, academic researchers, campaign groups and trade or industry bodies.</w:t>
      </w:r>
    </w:p>
    <w:p>
      <w:pPr>
        <w:pStyle w:val="Normal"/>
        <w:bidi w:val="0"/>
        <w:jc w:val="both"/>
        <w:rPr/>
      </w:pPr>
      <w:r>
        <w:rPr>
          <w:b/>
          <w:bCs/>
        </w:rPr>
        <w:t>3.1.3</w:t>
      </w:r>
      <w:r>
        <w:rPr/>
        <w:t xml:space="preserve"> The lawful basis is</w:t>
      </w:r>
      <w:r>
        <w:rPr>
          <w:i/>
          <w:iCs/>
        </w:rPr>
        <w:t xml:space="preserve"> legitimate interest </w:t>
      </w:r>
      <w:r>
        <w:rPr/>
        <w:t>under Article 6(1)(f) of UK-GDPR (see 3.3 Transparency). A legitimate interest assessment (LIA) has been carried out and is available on request.</w:t>
      </w:r>
    </w:p>
    <w:p>
      <w:pPr>
        <w:pStyle w:val="Normal"/>
        <w:bidi w:val="0"/>
        <w:jc w:val="both"/>
        <w:rPr/>
      </w:pPr>
      <w:r>
        <w:rPr/>
      </w:r>
    </w:p>
    <w:p>
      <w:pPr>
        <w:pStyle w:val="Normal"/>
        <w:bidi w:val="0"/>
        <w:jc w:val="both"/>
        <w:rPr>
          <w:b/>
          <w:bCs/>
        </w:rPr>
      </w:pPr>
      <w:r>
        <w:rPr>
          <w:b/>
          <w:bCs/>
        </w:rPr>
        <w:t>3.2 Type of Handling or Processing</w:t>
      </w:r>
    </w:p>
    <w:p>
      <w:pPr>
        <w:pStyle w:val="Normal"/>
        <w:bidi w:val="0"/>
        <w:jc w:val="both"/>
        <w:rPr/>
      </w:pPr>
      <w:r>
        <w:rPr/>
        <w:t>Personal data is collected from public sources, specifically UK council websites providing names, party affiliations, official contact details and leadership roles of elected representatives. This personal data is then handled in accordance with this DPP. Specifically, personal data is entered into and stored in a database, and made available as described in 3.1 Purpose of Use. No additional processing or data matching is performed.</w:t>
      </w:r>
    </w:p>
    <w:p>
      <w:pPr>
        <w:pStyle w:val="Normal"/>
        <w:bidi w:val="0"/>
        <w:jc w:val="both"/>
        <w:rPr/>
      </w:pPr>
      <w:r>
        <w:rPr/>
      </w:r>
    </w:p>
    <w:p>
      <w:pPr>
        <w:pStyle w:val="Normal"/>
        <w:bidi w:val="0"/>
        <w:jc w:val="both"/>
        <w:rPr>
          <w:b/>
          <w:bCs/>
        </w:rPr>
      </w:pPr>
      <w:r>
        <w:rPr>
          <w:b/>
          <w:bCs/>
        </w:rPr>
        <w:t>3.3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by the respective council of the elected representative (subject) and is handled as non-consented data under the following legal basis. The purpose described in 3.1 Purpose of Use is considered to be usage:</w:t>
      </w:r>
    </w:p>
    <w:p>
      <w:pPr>
        <w:pStyle w:val="Normal"/>
        <w:numPr>
          <w:ilvl w:val="0"/>
          <w:numId w:val="0"/>
        </w:numPr>
        <w:bidi w:val="0"/>
        <w:ind w:hanging="0" w:left="1080"/>
        <w:jc w:val="both"/>
        <w:rPr>
          <w:i/>
          <w:i/>
          <w:iCs/>
        </w:rPr>
      </w:pPr>
      <w:r>
        <w:rPr>
          <w:i/>
          <w:iCs/>
        </w:rPr>
        <w:t>in a way the subject would reasonably expect;</w:t>
      </w:r>
    </w:p>
    <w:p>
      <w:pPr>
        <w:pStyle w:val="Normal"/>
        <w:numPr>
          <w:ilvl w:val="0"/>
          <w:numId w:val="0"/>
        </w:numPr>
        <w:bidi w:val="0"/>
        <w:ind w:hanging="0" w:left="1080"/>
        <w:jc w:val="both"/>
        <w:rPr>
          <w:i/>
          <w:i/>
          <w:iCs/>
        </w:rPr>
      </w:pPr>
      <w:r>
        <w:rPr>
          <w:i/>
          <w:iCs/>
        </w:rPr>
        <w:t>in a way that has a minimal impact on the subject’s privacy; and</w:t>
      </w:r>
    </w:p>
    <w:p>
      <w:pPr>
        <w:pStyle w:val="Normal"/>
        <w:numPr>
          <w:ilvl w:val="0"/>
          <w:numId w:val="0"/>
        </w:numPr>
        <w:bidi w:val="0"/>
        <w:ind w:hanging="0" w:left="1080"/>
        <w:jc w:val="both"/>
        <w:rPr/>
      </w:pPr>
      <w:r>
        <w:rPr>
          <w:i/>
          <w:iCs/>
        </w:rPr>
        <w:t>where there is a compelling justification for this purpose</w:t>
      </w:r>
      <w:r>
        <w:rPr/>
        <w:t>,</w:t>
      </w:r>
    </w:p>
    <w:p>
      <w:pPr>
        <w:pStyle w:val="Normal"/>
        <w:numPr>
          <w:ilvl w:val="0"/>
          <w:numId w:val="0"/>
        </w:numPr>
        <w:bidi w:val="0"/>
        <w:ind w:hanging="0" w:left="720"/>
        <w:jc w:val="both"/>
        <w:rPr/>
      </w:pPr>
      <w:r>
        <w:rPr/>
        <w:t xml:space="preserve">and thereby complies with the </w:t>
      </w:r>
      <w:r>
        <w:rPr>
          <w:i/>
          <w:iCs/>
        </w:rPr>
        <w:t>legitimate interest</w:t>
      </w:r>
      <w:r>
        <w:rPr/>
        <w:t xml:space="preserve"> requirements under Article 6(1)(f) of UK-GDPR.</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3.1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beyond the data points described above is collected, no processing is carried out, and personal data is not matched with any supplementary source of personal data.</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 including periodic checks against council websites and daily updates to councillor details where required. Such updates include the addition of new subjects, the amendment of names and party affiliations, the addition, amendment and removal of contact details and leadership roles, and the removal of subjects’ details entirely, all of which are reflected in our commercial datasets as soon as practicably possible.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Contact details are only retained for as long as each councillor is a current representative, and are thereafter deleted from live and backup databases.</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 and is only provided to third parties (clients) once a Terms of Use document has been agreed which limits the actions of the client as stipulated in Section 5.</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Subjects may contact Council Data UK at any time via the email address on the website, to enquire about their personal data. All subject access requests (SARs) and complaints are handled without undue delay.</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r>
        <w:br w:type="page"/>
      </w:r>
    </w:p>
    <w:p>
      <w:pPr>
        <w:pStyle w:val="Normal"/>
        <w:bidi w:val="0"/>
        <w:spacing w:before="0" w:after="0"/>
        <w:jc w:val="center"/>
        <w:rPr>
          <w:b/>
          <w:bCs/>
        </w:rPr>
      </w:pPr>
      <w:r>
        <w:rPr>
          <w:b/>
          <w:bCs/>
        </w:rPr>
        <w:t>4. Policies for Client Personal Data</w:t>
      </w:r>
    </w:p>
    <w:p>
      <w:pPr>
        <w:pStyle w:val="Normal"/>
        <w:bidi w:val="0"/>
        <w:jc w:val="center"/>
        <w:rPr>
          <w:b/>
          <w:bCs/>
        </w:rPr>
      </w:pPr>
      <w:r>
        <w:rPr>
          <w:b/>
          <w:bCs/>
        </w:rPr>
      </w:r>
    </w:p>
    <w:p>
      <w:pPr>
        <w:pStyle w:val="Normal"/>
        <w:bidi w:val="0"/>
        <w:jc w:val="center"/>
        <w:rPr>
          <w:b/>
          <w:bCs/>
        </w:rPr>
      </w:pPr>
      <w:r>
        <w:rPr>
          <w:b/>
          <w:bCs/>
        </w:rPr>
      </w:r>
    </w:p>
    <w:p>
      <w:pPr>
        <w:pStyle w:val="Normal"/>
        <w:bidi w:val="0"/>
        <w:jc w:val="both"/>
        <w:rPr>
          <w:b/>
          <w:bCs/>
        </w:rPr>
      </w:pPr>
      <w:r>
        <w:rPr>
          <w:b/>
          <w:bCs/>
        </w:rPr>
        <w:t>4.1 Purpose of use</w:t>
      </w:r>
    </w:p>
    <w:p>
      <w:pPr>
        <w:pStyle w:val="Normal"/>
        <w:bidi w:val="0"/>
        <w:jc w:val="both"/>
        <w:rPr/>
      </w:pPr>
      <w:r>
        <w:rPr/>
        <w:t>To enable communication and transactions with clients.</w:t>
      </w:r>
    </w:p>
    <w:p>
      <w:pPr>
        <w:pStyle w:val="Normal"/>
        <w:bidi w:val="0"/>
        <w:jc w:val="both"/>
        <w:rPr/>
      </w:pPr>
      <w:r>
        <w:rPr/>
      </w:r>
    </w:p>
    <w:p>
      <w:pPr>
        <w:pStyle w:val="Normal"/>
        <w:bidi w:val="0"/>
        <w:jc w:val="both"/>
        <w:rPr>
          <w:b/>
          <w:bCs/>
        </w:rPr>
      </w:pPr>
      <w:r>
        <w:rPr>
          <w:b/>
          <w:bCs/>
        </w:rPr>
        <w:t>4.2 Type of Handling or Processing</w:t>
      </w:r>
    </w:p>
    <w:p>
      <w:pPr>
        <w:pStyle w:val="Normal"/>
        <w:bidi w:val="0"/>
        <w:jc w:val="both"/>
        <w:rPr/>
      </w:pPr>
      <w:r>
        <w:rPr/>
        <w:t>Data is stored seurely in our email software and/or in our server.</w:t>
      </w:r>
    </w:p>
    <w:p>
      <w:pPr>
        <w:pStyle w:val="Normal"/>
        <w:bidi w:val="0"/>
        <w:jc w:val="both"/>
        <w:rPr/>
      </w:pPr>
      <w:r>
        <w:rPr/>
      </w:r>
    </w:p>
    <w:p>
      <w:pPr>
        <w:pStyle w:val="Normal"/>
        <w:bidi w:val="0"/>
        <w:jc w:val="both"/>
        <w:rPr>
          <w:b/>
          <w:bCs/>
        </w:rPr>
      </w:pPr>
      <w:r>
        <w:rPr>
          <w:b/>
          <w:bCs/>
        </w:rPr>
        <w:t>4.3 Safeguards Implemented</w:t>
      </w:r>
    </w:p>
    <w:p>
      <w:pPr>
        <w:pStyle w:val="Normal"/>
        <w:bidi w:val="0"/>
        <w:jc w:val="both"/>
        <w:rPr/>
      </w:pPr>
      <w:r>
        <w:rPr/>
        <w:t>Safeguards have been implemented to ensure transparency, purpose limitation, data minimisation, accuracy, storage limitation, integrity and confidentiality, and accountability. Details of these safeguards can be found below.</w:t>
      </w:r>
    </w:p>
    <w:p>
      <w:pPr>
        <w:pStyle w:val="Normal"/>
        <w:bidi w:val="0"/>
        <w:jc w:val="both"/>
        <w:rPr/>
      </w:pPr>
      <w:r>
        <w:rPr/>
      </w:r>
    </w:p>
    <w:p>
      <w:pPr>
        <w:pStyle w:val="Normal"/>
        <w:numPr>
          <w:ilvl w:val="0"/>
          <w:numId w:val="1"/>
        </w:numPr>
        <w:bidi w:val="0"/>
        <w:jc w:val="both"/>
        <w:rPr/>
      </w:pPr>
      <w:r>
        <w:rPr>
          <w:b/>
          <w:bCs/>
        </w:rPr>
        <w:t>Transparency</w:t>
      </w:r>
    </w:p>
    <w:p>
      <w:pPr>
        <w:pStyle w:val="Normal"/>
        <w:numPr>
          <w:ilvl w:val="0"/>
          <w:numId w:val="0"/>
        </w:numPr>
        <w:bidi w:val="0"/>
        <w:ind w:hanging="0" w:left="720"/>
        <w:jc w:val="both"/>
        <w:rPr/>
      </w:pPr>
      <w:r>
        <w:rPr/>
        <w:t>Personal data is provided directly by the subject.</w:t>
      </w:r>
    </w:p>
    <w:p>
      <w:pPr>
        <w:pStyle w:val="Normal"/>
        <w:numPr>
          <w:ilvl w:val="0"/>
          <w:numId w:val="0"/>
        </w:numPr>
        <w:bidi w:val="0"/>
        <w:ind w:hanging="0" w:left="720"/>
        <w:jc w:val="both"/>
        <w:rPr/>
      </w:pPr>
      <w:r>
        <w:rPr/>
      </w:r>
    </w:p>
    <w:p>
      <w:pPr>
        <w:pStyle w:val="Normal"/>
        <w:numPr>
          <w:ilvl w:val="0"/>
          <w:numId w:val="1"/>
        </w:numPr>
        <w:bidi w:val="0"/>
        <w:jc w:val="both"/>
        <w:rPr/>
      </w:pPr>
      <w:r>
        <w:rPr>
          <w:b/>
          <w:bCs/>
        </w:rPr>
        <w:t>Purpose Limitation</w:t>
      </w:r>
    </w:p>
    <w:p>
      <w:pPr>
        <w:pStyle w:val="Normal"/>
        <w:numPr>
          <w:ilvl w:val="0"/>
          <w:numId w:val="0"/>
        </w:numPr>
        <w:bidi w:val="0"/>
        <w:ind w:hanging="0" w:left="720"/>
        <w:jc w:val="both"/>
        <w:rPr/>
      </w:pPr>
      <w:r>
        <w:rPr/>
        <w:t>The use of personal data is limited to that described in 4.1 Purpose of Use, and is collected and used only for specified, explicit and legitimate purposes, whie further incompatible processing is avoided.</w:t>
      </w:r>
    </w:p>
    <w:p>
      <w:pPr>
        <w:pStyle w:val="Normal"/>
        <w:numPr>
          <w:ilvl w:val="0"/>
          <w:numId w:val="0"/>
        </w:numPr>
        <w:bidi w:val="0"/>
        <w:ind w:hanging="0" w:left="720"/>
        <w:jc w:val="both"/>
        <w:rPr/>
      </w:pPr>
      <w:r>
        <w:rPr/>
      </w:r>
    </w:p>
    <w:p>
      <w:pPr>
        <w:pStyle w:val="Normal"/>
        <w:numPr>
          <w:ilvl w:val="0"/>
          <w:numId w:val="1"/>
        </w:numPr>
        <w:bidi w:val="0"/>
        <w:jc w:val="both"/>
        <w:rPr/>
      </w:pPr>
      <w:r>
        <w:rPr>
          <w:b/>
          <w:bCs/>
        </w:rPr>
        <w:t>Data Minimisation</w:t>
      </w:r>
    </w:p>
    <w:p>
      <w:pPr>
        <w:pStyle w:val="Normal"/>
        <w:numPr>
          <w:ilvl w:val="0"/>
          <w:numId w:val="0"/>
        </w:numPr>
        <w:bidi w:val="0"/>
        <w:ind w:hanging="0" w:left="720"/>
        <w:jc w:val="both"/>
        <w:rPr/>
      </w:pPr>
      <w:r>
        <w:rPr/>
        <w:t>No personal data is collected or stored beyond that required to process the client’s query or transaction.</w:t>
      </w:r>
    </w:p>
    <w:p>
      <w:pPr>
        <w:pStyle w:val="Normal"/>
        <w:numPr>
          <w:ilvl w:val="0"/>
          <w:numId w:val="0"/>
        </w:numPr>
        <w:bidi w:val="0"/>
        <w:ind w:hanging="0" w:left="720"/>
        <w:jc w:val="both"/>
        <w:rPr/>
      </w:pPr>
      <w:r>
        <w:rPr/>
      </w:r>
    </w:p>
    <w:p>
      <w:pPr>
        <w:pStyle w:val="Normal"/>
        <w:numPr>
          <w:ilvl w:val="0"/>
          <w:numId w:val="1"/>
        </w:numPr>
        <w:bidi w:val="0"/>
        <w:jc w:val="both"/>
        <w:rPr/>
      </w:pPr>
      <w:r>
        <w:rPr>
          <w:b/>
          <w:bCs/>
        </w:rPr>
        <w:t>Accuracy</w:t>
      </w:r>
    </w:p>
    <w:p>
      <w:pPr>
        <w:pStyle w:val="Normal"/>
        <w:numPr>
          <w:ilvl w:val="0"/>
          <w:numId w:val="0"/>
        </w:numPr>
        <w:bidi w:val="0"/>
        <w:ind w:hanging="0" w:left="720"/>
        <w:jc w:val="both"/>
        <w:rPr/>
      </w:pPr>
      <w:r>
        <w:rPr/>
        <w:t>Appropriate efforts are made to ensure personal data is accurate and up-to-date.</w:t>
      </w:r>
    </w:p>
    <w:p>
      <w:pPr>
        <w:pStyle w:val="Normal"/>
        <w:numPr>
          <w:ilvl w:val="0"/>
          <w:numId w:val="0"/>
        </w:numPr>
        <w:bidi w:val="0"/>
        <w:ind w:hanging="0" w:left="720"/>
        <w:jc w:val="both"/>
        <w:rPr/>
      </w:pPr>
      <w:r>
        <w:rPr/>
      </w:r>
    </w:p>
    <w:p>
      <w:pPr>
        <w:pStyle w:val="Normal"/>
        <w:numPr>
          <w:ilvl w:val="0"/>
          <w:numId w:val="1"/>
        </w:numPr>
        <w:bidi w:val="0"/>
        <w:jc w:val="both"/>
        <w:rPr/>
      </w:pPr>
      <w:r>
        <w:rPr>
          <w:b/>
          <w:bCs/>
        </w:rPr>
        <w:t>Storage Limitation</w:t>
      </w:r>
    </w:p>
    <w:p>
      <w:pPr>
        <w:pStyle w:val="Normal"/>
        <w:numPr>
          <w:ilvl w:val="0"/>
          <w:numId w:val="0"/>
        </w:numPr>
        <w:bidi w:val="0"/>
        <w:ind w:hanging="0" w:left="720"/>
        <w:jc w:val="both"/>
        <w:rPr/>
      </w:pPr>
      <w:r>
        <w:rPr/>
        <w:t>Personal data is stored for a period of 6 years after the end of any commercial relationship with the subject.</w:t>
      </w:r>
    </w:p>
    <w:p>
      <w:pPr>
        <w:pStyle w:val="Normal"/>
        <w:numPr>
          <w:ilvl w:val="0"/>
          <w:numId w:val="0"/>
        </w:numPr>
        <w:bidi w:val="0"/>
        <w:ind w:hanging="0" w:left="720"/>
        <w:jc w:val="both"/>
        <w:rPr/>
      </w:pPr>
      <w:r>
        <w:rPr/>
      </w:r>
    </w:p>
    <w:p>
      <w:pPr>
        <w:pStyle w:val="Normal"/>
        <w:numPr>
          <w:ilvl w:val="0"/>
          <w:numId w:val="1"/>
        </w:numPr>
        <w:bidi w:val="0"/>
        <w:jc w:val="both"/>
        <w:rPr/>
      </w:pPr>
      <w:r>
        <w:rPr>
          <w:b/>
          <w:bCs/>
        </w:rPr>
        <w:t>Integrity and Confidentiality</w:t>
      </w:r>
    </w:p>
    <w:p>
      <w:pPr>
        <w:pStyle w:val="Normal"/>
        <w:numPr>
          <w:ilvl w:val="0"/>
          <w:numId w:val="0"/>
        </w:numPr>
        <w:bidi w:val="0"/>
        <w:ind w:hanging="0" w:left="720"/>
        <w:jc w:val="both"/>
        <w:rPr/>
      </w:pPr>
      <w:r>
        <w:rPr/>
        <w:t>All data, including personal data, is stored in a secure database using SSH encryption.</w:t>
      </w:r>
    </w:p>
    <w:p>
      <w:pPr>
        <w:pStyle w:val="Normal"/>
        <w:numPr>
          <w:ilvl w:val="0"/>
          <w:numId w:val="0"/>
        </w:numPr>
        <w:bidi w:val="0"/>
        <w:ind w:hanging="0" w:left="720"/>
        <w:jc w:val="both"/>
        <w:rPr/>
      </w:pPr>
      <w:r>
        <w:rPr/>
      </w:r>
    </w:p>
    <w:p>
      <w:pPr>
        <w:pStyle w:val="Normal"/>
        <w:numPr>
          <w:ilvl w:val="0"/>
          <w:numId w:val="1"/>
        </w:numPr>
        <w:bidi w:val="0"/>
        <w:jc w:val="both"/>
        <w:rPr/>
      </w:pPr>
      <w:r>
        <w:rPr>
          <w:b/>
          <w:bCs/>
        </w:rPr>
        <w:t>Accountability</w:t>
      </w:r>
    </w:p>
    <w:p>
      <w:pPr>
        <w:pStyle w:val="Normal"/>
        <w:numPr>
          <w:ilvl w:val="0"/>
          <w:numId w:val="0"/>
        </w:numPr>
        <w:bidi w:val="0"/>
        <w:ind w:hanging="0" w:left="720"/>
        <w:jc w:val="both"/>
        <w:rPr/>
      </w:pPr>
      <w:r>
        <w:rPr/>
        <w:t>Clients may contact us at any time via the email address on the website, to enquire about their personal data. All subject access requests (SARs) and complaints are handled without undue delay.</w:t>
      </w:r>
    </w:p>
    <w:p>
      <w:pPr>
        <w:pStyle w:val="Normal"/>
        <w:numPr>
          <w:ilvl w:val="0"/>
          <w:numId w:val="0"/>
        </w:numPr>
        <w:bidi w:val="0"/>
        <w:ind w:hanging="0" w:left="720"/>
        <w:jc w:val="both"/>
        <w:rPr/>
      </w:pPr>
      <w:r>
        <w:rPr/>
      </w:r>
      <w:r>
        <w:br w:type="page"/>
      </w:r>
    </w:p>
    <w:p>
      <w:pPr>
        <w:pStyle w:val="Normal"/>
        <w:bidi w:val="0"/>
        <w:spacing w:before="0" w:after="0"/>
        <w:jc w:val="center"/>
        <w:rPr>
          <w:b/>
          <w:bCs/>
        </w:rPr>
      </w:pPr>
      <w:r>
        <w:rPr>
          <w:b/>
          <w:bCs/>
        </w:rPr>
        <w:t>Section 5. Legitimate Interest Assessment</w:t>
      </w:r>
    </w:p>
    <w:p>
      <w:pPr>
        <w:pStyle w:val="Normal"/>
        <w:bidi w:val="0"/>
        <w:jc w:val="center"/>
        <w:rPr>
          <w:b w:val="false"/>
          <w:bCs w:val="false"/>
          <w:sz w:val="18"/>
          <w:szCs w:val="18"/>
        </w:rPr>
      </w:pPr>
      <w:r>
        <w:rPr>
          <w:b w:val="false"/>
          <w:bCs w:val="false"/>
          <w:sz w:val="18"/>
          <w:szCs w:val="18"/>
        </w:rPr>
      </w:r>
    </w:p>
    <w:p>
      <w:pPr>
        <w:pStyle w:val="Normal"/>
        <w:bidi w:val="0"/>
        <w:jc w:val="center"/>
        <w:rPr>
          <w:b/>
          <w:bCs/>
        </w:rPr>
      </w:pPr>
      <w:r>
        <w:rPr>
          <w:b/>
          <w:bCs/>
        </w:rPr>
      </w:r>
    </w:p>
    <w:p>
      <w:pPr>
        <w:pStyle w:val="Normal"/>
        <w:bidi w:val="0"/>
        <w:jc w:val="center"/>
        <w:rPr>
          <w:b/>
          <w:bCs/>
        </w:rPr>
      </w:pPr>
      <w:r>
        <w:rPr>
          <w:b/>
          <w:bCs/>
        </w:rPr>
      </w:r>
    </w:p>
    <w:p>
      <w:pPr>
        <w:pStyle w:val="Normal"/>
        <w:bidi w:val="0"/>
        <w:jc w:val="both"/>
        <w:rPr>
          <w:b/>
          <w:bCs/>
        </w:rPr>
      </w:pPr>
      <w:r>
        <w:rPr>
          <w:b/>
          <w:bCs/>
        </w:rPr>
        <w:t>5.1 Purpose Statement</w:t>
      </w:r>
    </w:p>
    <w:p>
      <w:pPr>
        <w:pStyle w:val="Normal"/>
        <w:bidi w:val="0"/>
        <w:jc w:val="both"/>
        <w:rPr/>
      </w:pPr>
      <w:r>
        <w:rPr>
          <w:b w:val="false"/>
          <w:bCs w:val="false"/>
        </w:rPr>
        <w:t>We compile the names, party affiliations, official public contact details and leadership roles of UK elected representatives, and make these available to clients which we consider to have a legitimate interest in making contact with said representatives. Our legitimate interest is to operate our core business.</w:t>
      </w:r>
    </w:p>
    <w:p>
      <w:pPr>
        <w:pStyle w:val="Normal"/>
        <w:bidi w:val="0"/>
        <w:jc w:val="both"/>
        <w:rPr>
          <w:b/>
          <w:bCs/>
        </w:rPr>
      </w:pPr>
      <w:r>
        <w:rPr>
          <w:b/>
          <w:bCs/>
        </w:rPr>
        <w:t>5.2 Neccesity Statement</w:t>
      </w:r>
    </w:p>
    <w:p>
      <w:pPr>
        <w:pStyle w:val="Normal"/>
        <w:bidi w:val="0"/>
        <w:jc w:val="both"/>
        <w:rPr/>
      </w:pPr>
      <w:r>
        <w:rPr>
          <w:b w:val="false"/>
          <w:bCs w:val="false"/>
        </w:rPr>
        <w:t>Personal data under Section 3 is neccesary as it forms a key element of the primary service we provide. Specific consent was considered as an alternative, however, this would require contacting over 19,000 individuals who have already provided their personal data publicly for use in this manner, something which was considered excessive and intrusive.</w:t>
      </w:r>
    </w:p>
    <w:p>
      <w:pPr>
        <w:pStyle w:val="Normal"/>
        <w:bidi w:val="0"/>
        <w:jc w:val="both"/>
        <w:rPr>
          <w:b/>
          <w:bCs/>
        </w:rPr>
      </w:pPr>
      <w:r>
        <w:rPr>
          <w:b/>
          <w:bCs/>
        </w:rPr>
        <w:t>5.3 Balancing and Safeguards</w:t>
      </w:r>
    </w:p>
    <w:p>
      <w:pPr>
        <w:pStyle w:val="Normal"/>
        <w:bidi w:val="0"/>
        <w:jc w:val="both"/>
        <w:rPr/>
      </w:pPr>
      <w:r>
        <w:rPr>
          <w:b w:val="false"/>
          <w:bCs w:val="false"/>
        </w:rPr>
        <w:t>The potential impact on individuals is low, for the following reasons.</w:t>
      </w:r>
    </w:p>
    <w:p>
      <w:pPr>
        <w:pStyle w:val="Normal"/>
        <w:numPr>
          <w:ilvl w:val="0"/>
          <w:numId w:val="2"/>
        </w:numPr>
        <w:bidi w:val="0"/>
        <w:jc w:val="both"/>
        <w:rPr/>
      </w:pPr>
      <w:r>
        <w:rPr/>
        <w:t>Personal data is provided publicly by the respective council of the elected representative (subject), and our handling is considered to be done:</w:t>
      </w:r>
    </w:p>
    <w:p>
      <w:pPr>
        <w:pStyle w:val="Normal"/>
        <w:numPr>
          <w:ilvl w:val="0"/>
          <w:numId w:val="0"/>
        </w:numPr>
        <w:bidi w:val="0"/>
        <w:ind w:hanging="0" w:left="1080"/>
        <w:jc w:val="both"/>
        <w:rPr>
          <w:i/>
          <w:i/>
          <w:iCs/>
        </w:rPr>
      </w:pPr>
      <w:r>
        <w:rPr>
          <w:i/>
          <w:iCs/>
        </w:rPr>
        <w:t>in a way the subject would reasonably expect;</w:t>
      </w:r>
    </w:p>
    <w:p>
      <w:pPr>
        <w:pStyle w:val="Normal"/>
        <w:numPr>
          <w:ilvl w:val="0"/>
          <w:numId w:val="0"/>
        </w:numPr>
        <w:bidi w:val="0"/>
        <w:ind w:hanging="0" w:left="1080"/>
        <w:jc w:val="both"/>
        <w:rPr>
          <w:i/>
          <w:i/>
          <w:iCs/>
        </w:rPr>
      </w:pPr>
      <w:r>
        <w:rPr>
          <w:i/>
          <w:iCs/>
        </w:rPr>
        <w:t>in a way that has a minimal impact on the subject’s privacy; and</w:t>
      </w:r>
    </w:p>
    <w:p>
      <w:pPr>
        <w:pStyle w:val="Normal"/>
        <w:numPr>
          <w:ilvl w:val="0"/>
          <w:numId w:val="0"/>
        </w:numPr>
        <w:bidi w:val="0"/>
        <w:ind w:hanging="0" w:left="1080"/>
        <w:jc w:val="both"/>
        <w:rPr/>
      </w:pPr>
      <w:r>
        <w:rPr>
          <w:i/>
          <w:iCs/>
        </w:rPr>
        <w:t>where there is a compelling justification for this purpose</w:t>
      </w:r>
      <w:r>
        <w:rPr/>
        <w:t>,</w:t>
      </w:r>
    </w:p>
    <w:p>
      <w:pPr>
        <w:pStyle w:val="Normal"/>
        <w:widowControl/>
        <w:numPr>
          <w:ilvl w:val="0"/>
          <w:numId w:val="0"/>
        </w:numPr>
        <w:suppressAutoHyphens w:val="true"/>
        <w:overflowPunct w:val="true"/>
        <w:bidi w:val="0"/>
        <w:spacing w:before="0" w:after="0"/>
        <w:ind w:hanging="0" w:left="737" w:right="0"/>
        <w:jc w:val="both"/>
        <w:rPr/>
      </w:pPr>
      <w:r>
        <w:rPr/>
        <w:t xml:space="preserve">and thereby complies with the </w:t>
      </w:r>
      <w:r>
        <w:rPr>
          <w:i/>
          <w:iCs/>
        </w:rPr>
        <w:t>legitimate interest</w:t>
      </w:r>
      <w:r>
        <w:rPr/>
        <w:t xml:space="preserve"> requirements under Article 6(1)(f) of UK-GDPR.</w:t>
      </w:r>
    </w:p>
    <w:p>
      <w:pPr>
        <w:pStyle w:val="Normal"/>
        <w:widowControl/>
        <w:numPr>
          <w:ilvl w:val="1"/>
          <w:numId w:val="1"/>
        </w:numPr>
        <w:suppressAutoHyphens w:val="true"/>
        <w:overflowPunct w:val="true"/>
        <w:bidi w:val="0"/>
        <w:spacing w:before="0" w:after="0"/>
        <w:ind w:hanging="340" w:left="737" w:right="0"/>
        <w:jc w:val="both"/>
        <w:rPr/>
      </w:pPr>
      <w:r>
        <w:rPr/>
        <w:t>Our purpose is lawful, specific and real.</w:t>
      </w:r>
    </w:p>
    <w:p>
      <w:pPr>
        <w:pStyle w:val="Normal"/>
        <w:widowControl/>
        <w:numPr>
          <w:ilvl w:val="1"/>
          <w:numId w:val="1"/>
        </w:numPr>
        <w:suppressAutoHyphens w:val="true"/>
        <w:overflowPunct w:val="true"/>
        <w:bidi w:val="0"/>
        <w:spacing w:before="0" w:after="0"/>
        <w:ind w:hanging="340" w:left="737" w:right="0"/>
        <w:jc w:val="both"/>
        <w:rPr/>
      </w:pPr>
      <w:r>
        <w:rPr/>
        <w:t>Data compilation is necessary to achieve this purpose, which cannot be achieved in a less privacy-intrusive way.</w:t>
      </w:r>
    </w:p>
    <w:p>
      <w:pPr>
        <w:pStyle w:val="Normal"/>
        <w:widowControl/>
        <w:numPr>
          <w:ilvl w:val="1"/>
          <w:numId w:val="1"/>
        </w:numPr>
        <w:suppressAutoHyphens w:val="true"/>
        <w:overflowPunct w:val="true"/>
        <w:bidi w:val="0"/>
        <w:spacing w:before="0" w:after="0"/>
        <w:ind w:hanging="340" w:left="737" w:right="0"/>
        <w:jc w:val="both"/>
        <w:rPr/>
      </w:pPr>
      <w:r>
        <w:rPr/>
        <w:t>Sensible safeguards have been applied as detailed in Section 3.3.</w:t>
      </w:r>
    </w:p>
    <w:p>
      <w:pPr>
        <w:pStyle w:val="Normal"/>
        <w:widowControl/>
        <w:numPr>
          <w:ilvl w:val="0"/>
          <w:numId w:val="0"/>
        </w:numPr>
        <w:suppressAutoHyphens w:val="true"/>
        <w:overflowPunct w:val="true"/>
        <w:bidi w:val="0"/>
        <w:spacing w:before="0" w:after="0"/>
        <w:ind w:hanging="0" w:left="0" w:right="0"/>
        <w:jc w:val="both"/>
        <w:rPr/>
      </w:pPr>
      <w:r>
        <w:rPr>
          <w:b/>
          <w:bCs/>
        </w:rPr>
        <w:t>5.4 Outcome</w:t>
      </w:r>
    </w:p>
    <w:p>
      <w:pPr>
        <w:pStyle w:val="Normal"/>
        <w:widowControl/>
        <w:suppressAutoHyphens w:val="true"/>
        <w:overflowPunct w:val="true"/>
        <w:bidi w:val="0"/>
        <w:spacing w:before="0" w:after="0"/>
        <w:ind w:hanging="0" w:left="0" w:right="0"/>
        <w:jc w:val="both"/>
        <w:rPr/>
      </w:pPr>
      <w:r>
        <w:rPr/>
        <w:t>On balance, i</w:t>
      </w:r>
      <w:r>
        <w:rPr>
          <w:b w:val="false"/>
          <w:bCs w:val="false"/>
        </w:rPr>
        <w:t>t is considered that the balance between the individuals’ interests, rights and freedoms does not override this legitimate interest, provided we apply to safeguards listed. Decision: proceed.</w:t>
      </w:r>
    </w:p>
    <w:p>
      <w:pPr>
        <w:pStyle w:val="Normal"/>
        <w:widowControl/>
        <w:suppressAutoHyphens w:val="true"/>
        <w:overflowPunct w:val="true"/>
        <w:bidi w:val="0"/>
        <w:spacing w:before="0" w:after="0"/>
        <w:ind w:hanging="0" w:left="0" w:right="0"/>
        <w:jc w:val="both"/>
        <w:rPr>
          <w:b w:val="false"/>
          <w:bCs w:val="false"/>
          <w:i/>
          <w:i/>
          <w:iCs/>
        </w:rPr>
      </w:pPr>
      <w:r>
        <w:rPr>
          <w:b w:val="false"/>
          <w:bCs w:val="false"/>
          <w:i/>
          <w:iCs/>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1092</TotalTime>
  <Application>LibreOffice/24.2.7.2$Linux_X86_64 LibreOffice_project/420$Build-2</Application>
  <AppVersion>15.0000</AppVersion>
  <Pages>8</Pages>
  <Words>1750</Words>
  <Characters>9788</Characters>
  <CharactersWithSpaces>11403</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2023-07-07T10:53:49Z</dcterms:created>
  <dc:creator/>
  <dc:description/>
  <dc:language>en-GB</dc:language>
  <cp:lastModifiedBy/>
  <dcterms:modified xsi:type="dcterms:W3CDTF">2026-06-11T18:16:08Z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